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89"/>
      </w:tblGrid>
      <w:tr w:rsidR="008A2873" w14:paraId="1A78A151" w14:textId="77777777" w:rsidTr="00782ED4">
        <w:trPr>
          <w:jc w:val="center"/>
        </w:trPr>
        <w:tc>
          <w:tcPr>
            <w:tcW w:w="1668" w:type="dxa"/>
            <w:shd w:val="clear" w:color="auto" w:fill="auto"/>
          </w:tcPr>
          <w:p w14:paraId="77066571" w14:textId="77777777" w:rsidR="008A2873" w:rsidRDefault="008A2873" w:rsidP="00782ED4">
            <w:pPr>
              <w:pStyle w:val="Nagwek"/>
            </w:pPr>
            <w:r w:rsidRPr="006A6575">
              <w:rPr>
                <w:rFonts w:ascii="Book Antiqua" w:hAnsi="Book Antiqua" w:cs="Book Antiqua"/>
                <w:i/>
                <w:noProof/>
              </w:rPr>
              <w:drawing>
                <wp:inline distT="0" distB="0" distL="0" distR="0" wp14:anchorId="196FD7E3" wp14:editId="72B9D556">
                  <wp:extent cx="812800" cy="720112"/>
                  <wp:effectExtent l="0" t="0" r="635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44" cy="74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4B6E990F" w14:textId="77777777" w:rsidR="008A2873" w:rsidRDefault="008A2873" w:rsidP="00782ED4">
            <w:pPr>
              <w:pStyle w:val="Nagwek"/>
              <w:jc w:val="center"/>
            </w:pPr>
            <w:r>
              <w:t>Szkoła Podstawowa im. Janusza Korczaka</w:t>
            </w:r>
          </w:p>
          <w:p w14:paraId="6CF2BBC6" w14:textId="77777777" w:rsidR="008A2873" w:rsidRDefault="008A2873" w:rsidP="00782ED4">
            <w:pPr>
              <w:pStyle w:val="Nagwek"/>
              <w:jc w:val="center"/>
            </w:pPr>
            <w:r>
              <w:t>w Ratowicach</w:t>
            </w:r>
          </w:p>
          <w:p w14:paraId="371A8747" w14:textId="77777777" w:rsidR="008A2873" w:rsidRPr="00137D1B" w:rsidRDefault="008A2873" w:rsidP="00782ED4">
            <w:pPr>
              <w:pStyle w:val="Nagwek"/>
              <w:jc w:val="center"/>
              <w:rPr>
                <w:sz w:val="18"/>
                <w:szCs w:val="18"/>
              </w:rPr>
            </w:pPr>
            <w:r w:rsidRPr="00137D1B">
              <w:rPr>
                <w:sz w:val="18"/>
                <w:szCs w:val="18"/>
              </w:rPr>
              <w:t>55-003 Czernica, Ratowice ul. Wrocławska 36</w:t>
            </w:r>
          </w:p>
          <w:p w14:paraId="0FC47B73" w14:textId="77777777" w:rsidR="008A2873" w:rsidRPr="00137D1B" w:rsidRDefault="008A2873" w:rsidP="00782ED4">
            <w:pPr>
              <w:pStyle w:val="Nagwek"/>
              <w:jc w:val="center"/>
              <w:rPr>
                <w:sz w:val="18"/>
                <w:szCs w:val="18"/>
              </w:rPr>
            </w:pPr>
            <w:r w:rsidRPr="00137D1B">
              <w:rPr>
                <w:sz w:val="18"/>
                <w:szCs w:val="18"/>
              </w:rPr>
              <w:t>tel./ fax. 71 318 91 68</w:t>
            </w:r>
          </w:p>
          <w:p w14:paraId="7FC09748" w14:textId="77777777" w:rsidR="008A2873" w:rsidRPr="00137D1B" w:rsidRDefault="008A2873" w:rsidP="00782ED4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www.spratowice.edu.pl</w:t>
            </w:r>
            <w:r w:rsidRPr="00137D1B">
              <w:rPr>
                <w:sz w:val="18"/>
                <w:szCs w:val="18"/>
              </w:rPr>
              <w:t xml:space="preserve">, sekretariat@spratowice.edu.pl  </w:t>
            </w:r>
          </w:p>
        </w:tc>
      </w:tr>
    </w:tbl>
    <w:p w14:paraId="0C488BFE" w14:textId="13B9D52E" w:rsidR="008A2873" w:rsidRPr="008A2873" w:rsidRDefault="008A2873" w:rsidP="008A2873">
      <w:pPr>
        <w:pStyle w:val="Nagwek"/>
      </w:pPr>
      <w:r>
        <w:t xml:space="preserve">                                  ________________________________________________________________________________</w:t>
      </w:r>
    </w:p>
    <w:p w14:paraId="713FAD77" w14:textId="77777777" w:rsidR="008A2873" w:rsidRDefault="008A2873">
      <w:pPr>
        <w:rPr>
          <w:b/>
          <w:sz w:val="28"/>
          <w:szCs w:val="28"/>
        </w:rPr>
      </w:pPr>
    </w:p>
    <w:p w14:paraId="51B8C68F" w14:textId="39A09413" w:rsidR="008A2873" w:rsidRPr="00BC1BFE" w:rsidRDefault="008A2873" w:rsidP="008A2873">
      <w:pPr>
        <w:spacing w:line="276" w:lineRule="auto"/>
        <w:jc w:val="center"/>
        <w:rPr>
          <w:i/>
        </w:rPr>
      </w:pPr>
      <w:r w:rsidRPr="00BC1BFE">
        <w:rPr>
          <w:i/>
        </w:rPr>
        <w:t>PRZEDMIOTOWY SYSTEM OCENIANIA W KLA</w:t>
      </w:r>
      <w:r>
        <w:rPr>
          <w:i/>
        </w:rPr>
        <w:t>SIE</w:t>
      </w:r>
      <w:r w:rsidRPr="00BC1BFE">
        <w:rPr>
          <w:i/>
        </w:rPr>
        <w:t xml:space="preserve"> VIII</w:t>
      </w:r>
    </w:p>
    <w:p w14:paraId="38A64C44" w14:textId="77777777" w:rsidR="008A2873" w:rsidRPr="00BC1BFE" w:rsidRDefault="008A2873" w:rsidP="008A2873">
      <w:pPr>
        <w:spacing w:line="276" w:lineRule="auto"/>
        <w:jc w:val="center"/>
        <w:rPr>
          <w:i/>
        </w:rPr>
      </w:pPr>
      <w:r w:rsidRPr="00BC1BFE">
        <w:rPr>
          <w:i/>
        </w:rPr>
        <w:t>W ROKU SZKOLNYM 2024/2025</w:t>
      </w:r>
    </w:p>
    <w:p w14:paraId="5EC8B141" w14:textId="77777777" w:rsidR="008A2873" w:rsidRDefault="008A2873" w:rsidP="008A2873">
      <w:pPr>
        <w:jc w:val="center"/>
        <w:rPr>
          <w:i/>
        </w:rPr>
      </w:pPr>
      <w:r w:rsidRPr="00BC1BFE">
        <w:rPr>
          <w:i/>
        </w:rPr>
        <w:t>W SZKOLE PODSTAWOWEJ IM. JANUSZA KORCZAKA W RATOWICACH</w:t>
      </w:r>
    </w:p>
    <w:p w14:paraId="544501AC" w14:textId="77777777" w:rsidR="008A2873" w:rsidRPr="00BC1BFE" w:rsidRDefault="008A2873" w:rsidP="008A2873">
      <w:pPr>
        <w:tabs>
          <w:tab w:val="left" w:pos="1032"/>
        </w:tabs>
        <w:spacing w:line="276" w:lineRule="auto"/>
        <w:rPr>
          <w:i/>
        </w:rPr>
      </w:pPr>
      <w:r>
        <w:rPr>
          <w:i/>
        </w:rPr>
        <w:tab/>
      </w:r>
    </w:p>
    <w:p w14:paraId="765E155F" w14:textId="77777777" w:rsidR="008A2873" w:rsidRPr="004F4A44" w:rsidRDefault="008A2873" w:rsidP="008A2873">
      <w:r w:rsidRPr="004F4A44">
        <w:t xml:space="preserve">Nauczyciel: mgr Dorota Pelc   </w:t>
      </w:r>
    </w:p>
    <w:p w14:paraId="1266E150" w14:textId="0A1CE45F" w:rsidR="008A2873" w:rsidRPr="004F4A44" w:rsidRDefault="008A2873" w:rsidP="008A2873">
      <w:r w:rsidRPr="004F4A44">
        <w:t>Wymiar godz.:</w:t>
      </w:r>
      <w:r w:rsidR="004F4A44">
        <w:t>1</w:t>
      </w:r>
      <w:bookmarkStart w:id="0" w:name="_GoBack"/>
      <w:bookmarkEnd w:id="0"/>
      <w:r w:rsidRPr="004F4A44">
        <w:t xml:space="preserve">h/tyg.  </w:t>
      </w:r>
    </w:p>
    <w:p w14:paraId="0FDE8106" w14:textId="7E5060C2" w:rsidR="008A2873" w:rsidRPr="004F4A44" w:rsidRDefault="008A2873" w:rsidP="008A2873">
      <w:r w:rsidRPr="004F4A44">
        <w:t xml:space="preserve"> Przedmioty: edukacja dla bezpieczeństwa </w:t>
      </w:r>
    </w:p>
    <w:p w14:paraId="6608772E" w14:textId="77777777" w:rsidR="008A2873" w:rsidRPr="004F4A44" w:rsidRDefault="008A2873" w:rsidP="008A2873">
      <w:pPr>
        <w:spacing w:line="276" w:lineRule="auto"/>
      </w:pPr>
    </w:p>
    <w:p w14:paraId="6DD0FBCC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Przedmiotowy system oceniania obejmuje: </w:t>
      </w:r>
    </w:p>
    <w:p w14:paraId="0558A405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1. Ocenianie wiadomości i umiejętności </w:t>
      </w:r>
    </w:p>
    <w:p w14:paraId="3498FE4D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a) Wiadomości przedmiotowe - zgodnie z programem nauczania i kryteriami wynikającymi z podstaw programowych. </w:t>
      </w:r>
    </w:p>
    <w:p w14:paraId="6C60A96F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b) Umiejętności przedmiotowe - planowanie, analizowanie i interpretowanie wyników obserwacji i eksperymentów, gromadzenie i prezentowanie informacji, dostrzeganie związków </w:t>
      </w:r>
      <w:proofErr w:type="spellStart"/>
      <w:r w:rsidRPr="004F4A44">
        <w:t>przyczynowo-skutkowych</w:t>
      </w:r>
      <w:proofErr w:type="spellEnd"/>
      <w:r w:rsidRPr="004F4A44">
        <w:t xml:space="preserve">, porównywanie i wnioskowanie, wykonywanie prostych wykresów, diagramów i ich interpretowanie,  posługiwanie się środkami technicznymi, korzystanie z różnych źródeł informacji. </w:t>
      </w:r>
    </w:p>
    <w:p w14:paraId="535102E1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c) Umiejętności </w:t>
      </w:r>
      <w:proofErr w:type="spellStart"/>
      <w:r w:rsidRPr="004F4A44">
        <w:t>ponadprzedmiotowe</w:t>
      </w:r>
      <w:proofErr w:type="spellEnd"/>
      <w:r w:rsidRPr="004F4A44">
        <w:t xml:space="preserve"> -  pracę w grupie, dyskusję, aktywność na lekcji polegającą na dzieleniu się wiedzą, odpowiedzialność za podjęte zadania, kreatywność w wykonywaniu prac. sumienność systematyczność szczególnie podczas prac np. z mikroskopem</w:t>
      </w:r>
    </w:p>
    <w:p w14:paraId="65E85FCE" w14:textId="77777777" w:rsidR="008A2873" w:rsidRPr="004F4A44" w:rsidRDefault="008A2873" w:rsidP="008A2873">
      <w:pPr>
        <w:spacing w:line="276" w:lineRule="auto"/>
      </w:pPr>
      <w:r w:rsidRPr="004F4A44">
        <w:t xml:space="preserve">2. Narzędzia oceniania </w:t>
      </w:r>
    </w:p>
    <w:p w14:paraId="1EB05B86" w14:textId="77777777" w:rsidR="008A2873" w:rsidRPr="004F4A44" w:rsidRDefault="008A2873" w:rsidP="008A2873">
      <w:r w:rsidRPr="004F4A44">
        <w:t xml:space="preserve">a) odpowiedzi ustne,                                   </w:t>
      </w:r>
    </w:p>
    <w:p w14:paraId="6EB3D68E" w14:textId="77777777" w:rsidR="008A2873" w:rsidRPr="004F4A44" w:rsidRDefault="008A2873" w:rsidP="008A2873">
      <w:pPr>
        <w:spacing w:line="276" w:lineRule="auto"/>
      </w:pPr>
      <w:r w:rsidRPr="004F4A44">
        <w:t xml:space="preserve">b) prace pisemne: sprawdziany, kartkówki, </w:t>
      </w:r>
    </w:p>
    <w:p w14:paraId="043AEC3E" w14:textId="77777777" w:rsidR="008A2873" w:rsidRPr="004F4A44" w:rsidRDefault="008A2873" w:rsidP="008A2873">
      <w:r w:rsidRPr="004F4A44">
        <w:t xml:space="preserve">c) prezentacje,                                               </w:t>
      </w:r>
    </w:p>
    <w:p w14:paraId="6385B44E" w14:textId="77777777" w:rsidR="008A2873" w:rsidRPr="004F4A44" w:rsidRDefault="008A2873" w:rsidP="008A2873">
      <w:pPr>
        <w:spacing w:line="276" w:lineRule="auto"/>
      </w:pPr>
      <w:r w:rsidRPr="004F4A44">
        <w:t xml:space="preserve">d) zeszyty ćwiczeń </w:t>
      </w:r>
    </w:p>
    <w:p w14:paraId="1B62ED81" w14:textId="77777777" w:rsidR="008A2873" w:rsidRPr="004F4A44" w:rsidRDefault="008A2873" w:rsidP="008A2873">
      <w:r w:rsidRPr="004F4A44">
        <w:t xml:space="preserve">e) aktywność i zaangażowanie, przygotowanie do lekcji    </w:t>
      </w:r>
    </w:p>
    <w:p w14:paraId="3D3E272F" w14:textId="77777777" w:rsidR="008A2873" w:rsidRPr="004F4A44" w:rsidRDefault="008A2873" w:rsidP="008A2873">
      <w:pPr>
        <w:spacing w:line="276" w:lineRule="auto"/>
      </w:pPr>
      <w:r w:rsidRPr="004F4A44">
        <w:t xml:space="preserve"> f) w klasie VII - oceny z innowacji - " Uczeń jako nauczyciel" </w:t>
      </w:r>
    </w:p>
    <w:p w14:paraId="14720E31" w14:textId="77777777" w:rsidR="008A2873" w:rsidRPr="004F4A44" w:rsidRDefault="008A2873" w:rsidP="008A2873">
      <w:pPr>
        <w:spacing w:line="276" w:lineRule="auto"/>
      </w:pPr>
      <w:r w:rsidRPr="004F4A44">
        <w:t xml:space="preserve">3. Kryteria oceniania </w:t>
      </w:r>
    </w:p>
    <w:p w14:paraId="769738A7" w14:textId="77777777" w:rsidR="008A2873" w:rsidRPr="004F4A44" w:rsidRDefault="008A2873" w:rsidP="008A2873">
      <w:pPr>
        <w:spacing w:line="276" w:lineRule="auto"/>
      </w:pPr>
      <w:r w:rsidRPr="004F4A44">
        <w:t xml:space="preserve">a) Prace pisemne - Wymagania na ocenę: </w:t>
      </w:r>
    </w:p>
    <w:p w14:paraId="22654A1E" w14:textId="77777777" w:rsidR="008A2873" w:rsidRPr="004F4A44" w:rsidRDefault="008A2873" w:rsidP="008A2873">
      <w:pPr>
        <w:spacing w:line="276" w:lineRule="auto"/>
      </w:pPr>
      <w:r w:rsidRPr="004F4A44">
        <w:t xml:space="preserve"> niedostateczna (</w:t>
      </w:r>
      <w:proofErr w:type="spellStart"/>
      <w:r w:rsidRPr="004F4A44">
        <w:t>ndst</w:t>
      </w:r>
      <w:proofErr w:type="spellEnd"/>
      <w:r w:rsidRPr="004F4A44">
        <w:t>) – poniżej 29 % testu</w:t>
      </w:r>
    </w:p>
    <w:p w14:paraId="22D926A9" w14:textId="77777777" w:rsidR="008A2873" w:rsidRPr="004F4A44" w:rsidRDefault="008A2873" w:rsidP="008A2873">
      <w:pPr>
        <w:spacing w:line="276" w:lineRule="auto"/>
      </w:pPr>
      <w:r w:rsidRPr="004F4A44">
        <w:lastRenderedPageBreak/>
        <w:t xml:space="preserve"> dopuszczającą (</w:t>
      </w:r>
      <w:proofErr w:type="spellStart"/>
      <w:r w:rsidRPr="004F4A44">
        <w:t>dop</w:t>
      </w:r>
      <w:proofErr w:type="spellEnd"/>
      <w:r w:rsidRPr="004F4A44">
        <w:t xml:space="preserve">) – powyżej 30% rozwiązanego poprawnie testu; </w:t>
      </w:r>
    </w:p>
    <w:p w14:paraId="7FACD8FD" w14:textId="77777777" w:rsidR="008A2873" w:rsidRPr="004F4A44" w:rsidRDefault="008A2873" w:rsidP="008A2873">
      <w:pPr>
        <w:spacing w:line="276" w:lineRule="auto"/>
      </w:pPr>
      <w:r w:rsidRPr="004F4A44">
        <w:t xml:space="preserve"> dostateczną  (</w:t>
      </w:r>
      <w:proofErr w:type="spellStart"/>
      <w:r w:rsidRPr="004F4A44">
        <w:t>dst</w:t>
      </w:r>
      <w:proofErr w:type="spellEnd"/>
      <w:r w:rsidRPr="004F4A44">
        <w:t xml:space="preserve">)– powyżej 51% rozwiązanego poprawnie testu; </w:t>
      </w:r>
    </w:p>
    <w:p w14:paraId="250D5993" w14:textId="77777777" w:rsidR="008A2873" w:rsidRPr="004F4A44" w:rsidRDefault="008A2873" w:rsidP="008A2873">
      <w:pPr>
        <w:spacing w:line="276" w:lineRule="auto"/>
      </w:pPr>
      <w:r w:rsidRPr="004F4A44">
        <w:t xml:space="preserve"> dobrą (</w:t>
      </w:r>
      <w:proofErr w:type="spellStart"/>
      <w:r w:rsidRPr="004F4A44">
        <w:t>db</w:t>
      </w:r>
      <w:proofErr w:type="spellEnd"/>
      <w:r w:rsidRPr="004F4A44">
        <w:t xml:space="preserve">) – powyżej 75% rozwiązanego poprawnie testu; </w:t>
      </w:r>
    </w:p>
    <w:p w14:paraId="0C321307" w14:textId="77777777" w:rsidR="008A2873" w:rsidRPr="004F4A44" w:rsidRDefault="008A2873" w:rsidP="008A2873">
      <w:pPr>
        <w:spacing w:line="276" w:lineRule="auto"/>
      </w:pPr>
      <w:r w:rsidRPr="004F4A44">
        <w:t xml:space="preserve"> bardzo dobrą (</w:t>
      </w:r>
      <w:proofErr w:type="spellStart"/>
      <w:r w:rsidRPr="004F4A44">
        <w:t>bdb</w:t>
      </w:r>
      <w:proofErr w:type="spellEnd"/>
      <w:r w:rsidRPr="004F4A44">
        <w:t xml:space="preserve">) – powyżej 89% testu rozwiązanego poprawnie testu; </w:t>
      </w:r>
    </w:p>
    <w:p w14:paraId="7810B6FA" w14:textId="77777777" w:rsidR="008A2873" w:rsidRPr="004F4A44" w:rsidRDefault="008A2873" w:rsidP="008A2873">
      <w:pPr>
        <w:spacing w:line="276" w:lineRule="auto"/>
      </w:pPr>
      <w:r w:rsidRPr="004F4A44">
        <w:t xml:space="preserve"> celującą (cel) - 100 % testu rozwiązanego poprawnie testu</w:t>
      </w:r>
    </w:p>
    <w:p w14:paraId="344880F1" w14:textId="77777777" w:rsidR="008A2873" w:rsidRPr="004F4A44" w:rsidRDefault="008A2873" w:rsidP="008A2873">
      <w:pPr>
        <w:spacing w:line="276" w:lineRule="auto"/>
      </w:pPr>
      <w:r w:rsidRPr="004F4A44">
        <w:t xml:space="preserve">b) Odpowiedzi ustne  - Uczeń otrzymuje ocenę: </w:t>
      </w:r>
    </w:p>
    <w:p w14:paraId="5C877B96" w14:textId="77777777" w:rsidR="008A2873" w:rsidRPr="004F4A44" w:rsidRDefault="008A2873" w:rsidP="008A2873">
      <w:r w:rsidRPr="004F4A44">
        <w:t xml:space="preserve"> 6 pytań - 6 odpowiedzi – cel                         </w:t>
      </w:r>
    </w:p>
    <w:p w14:paraId="549D01C2" w14:textId="77777777" w:rsidR="008A2873" w:rsidRPr="004F4A44" w:rsidRDefault="008A2873" w:rsidP="008A2873">
      <w:pPr>
        <w:spacing w:line="276" w:lineRule="auto"/>
      </w:pPr>
      <w:r w:rsidRPr="004F4A44">
        <w:t xml:space="preserve">5 pytań - 5 odpowiedzi – </w:t>
      </w:r>
      <w:proofErr w:type="spellStart"/>
      <w:r w:rsidRPr="004F4A44">
        <w:t>bdb</w:t>
      </w:r>
      <w:proofErr w:type="spellEnd"/>
      <w:r w:rsidRPr="004F4A44">
        <w:t xml:space="preserve"> </w:t>
      </w:r>
    </w:p>
    <w:p w14:paraId="26594845" w14:textId="77777777" w:rsidR="008A2873" w:rsidRPr="004F4A44" w:rsidRDefault="008A2873" w:rsidP="008A2873">
      <w:r w:rsidRPr="004F4A44">
        <w:t xml:space="preserve">4 pytania - 4 odpowiedzi – </w:t>
      </w:r>
      <w:proofErr w:type="spellStart"/>
      <w:r w:rsidRPr="004F4A44">
        <w:t>db</w:t>
      </w:r>
      <w:proofErr w:type="spellEnd"/>
      <w:r w:rsidRPr="004F4A44">
        <w:t xml:space="preserve">                        </w:t>
      </w:r>
    </w:p>
    <w:p w14:paraId="4A363BE8" w14:textId="77777777" w:rsidR="008A2873" w:rsidRPr="004F4A44" w:rsidRDefault="008A2873" w:rsidP="008A2873">
      <w:pPr>
        <w:spacing w:line="276" w:lineRule="auto"/>
      </w:pPr>
      <w:r w:rsidRPr="004F4A44">
        <w:t xml:space="preserve">3 pytania - 3 odpowiedzi – </w:t>
      </w:r>
      <w:proofErr w:type="spellStart"/>
      <w:r w:rsidRPr="004F4A44">
        <w:t>dst</w:t>
      </w:r>
      <w:proofErr w:type="spellEnd"/>
      <w:r w:rsidRPr="004F4A44">
        <w:t xml:space="preserve"> </w:t>
      </w:r>
    </w:p>
    <w:p w14:paraId="1DA52001" w14:textId="77777777" w:rsidR="008A2873" w:rsidRPr="004F4A44" w:rsidRDefault="008A2873" w:rsidP="008A2873">
      <w:r w:rsidRPr="004F4A44">
        <w:t xml:space="preserve">2 pytania - 2 odpowiedzi – </w:t>
      </w:r>
      <w:proofErr w:type="spellStart"/>
      <w:r w:rsidRPr="004F4A44">
        <w:t>dop</w:t>
      </w:r>
      <w:proofErr w:type="spellEnd"/>
      <w:r w:rsidRPr="004F4A44">
        <w:t xml:space="preserve">                     </w:t>
      </w:r>
    </w:p>
    <w:p w14:paraId="62C98F57" w14:textId="77777777" w:rsidR="008A2873" w:rsidRPr="004F4A44" w:rsidRDefault="008A2873" w:rsidP="008A2873">
      <w:pPr>
        <w:spacing w:line="276" w:lineRule="auto"/>
      </w:pPr>
      <w:r w:rsidRPr="004F4A44">
        <w:t xml:space="preserve">1 pytanie - 1 odpowiedz – </w:t>
      </w:r>
      <w:proofErr w:type="spellStart"/>
      <w:r w:rsidRPr="004F4A44">
        <w:t>ndst</w:t>
      </w:r>
      <w:proofErr w:type="spellEnd"/>
      <w:r w:rsidRPr="004F4A44">
        <w:t xml:space="preserve"> </w:t>
      </w:r>
    </w:p>
    <w:p w14:paraId="698CF9A9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4. Zasady poprawiania ocen niedostatecznych </w:t>
      </w:r>
    </w:p>
    <w:p w14:paraId="6052A84D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a) Uczeń ma prawo poprawić ocenę niedostateczną uzyskaną ze sprawdzianu lub zapowiedzianej kartkówki w terminie uzgodnionym z nauczycielem. </w:t>
      </w:r>
    </w:p>
    <w:p w14:paraId="5E0F7EFE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b) Uczeń, który otrzymał ocenę niedostateczną na półrocze, powinien poprawić ocenę w terminie uzgodnionym z nauczycielem. </w:t>
      </w:r>
    </w:p>
    <w:p w14:paraId="1387BB21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c) Uczniowi, który nie podszedł do sprawdzianu, testu, kartkówki wpisuje się 0 celem informacji zwrotnej, by zaliczyć materiał., jeżeli ocena nie będzie poprawiona w terminie ustalonym z nauczycielem z czasem na przygotowanie </w:t>
      </w:r>
      <w:proofErr w:type="spellStart"/>
      <w:r w:rsidRPr="004F4A44">
        <w:t>sie</w:t>
      </w:r>
      <w:proofErr w:type="spellEnd"/>
      <w:r w:rsidRPr="004F4A44">
        <w:t xml:space="preserve"> do niego, nauczyciel ma prawo odpytać z materiału bez zapowiedzi na kolejnych zajęciach lekcyjnych.</w:t>
      </w:r>
    </w:p>
    <w:p w14:paraId="5922A732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5. Nieprzygotowanie do lekcji </w:t>
      </w:r>
    </w:p>
    <w:p w14:paraId="21750A93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a) uczeń ”przygotowany” do lekcji to taki, który na zajęcia przyniósł podręcznik, zeszyt, ćwiczenia oraz posiada wiedzę z trzech ostatnich bieżących tematów </w:t>
      </w:r>
    </w:p>
    <w:p w14:paraId="222361FA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b) uczniowi w ciągu semestru (2x w roku) może zdarzyć się jedno „nieprzygotowanie”, o którym informuje nauczyciela, zostaje ten fakt odnotowany w dzienniku </w:t>
      </w:r>
    </w:p>
    <w:p w14:paraId="42726C9E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c) oceny ze sprawdzianów – celujące i bardzo dobre mogą być wykorzystane jako „FUKS”, czyli dodatkowe „nieprzygotowanie” bez wyjaśnienia do lekcji, ratujące od kartkówki czy odpowiedzi, może być wykorzystane w danym semestrze </w:t>
      </w:r>
    </w:p>
    <w:p w14:paraId="3ABDB71A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d) niewykorzystane „nieprzygotowanie” nie przenosi się na kolejny semestr </w:t>
      </w:r>
    </w:p>
    <w:p w14:paraId="1B2621C9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6. Aktywność: </w:t>
      </w:r>
    </w:p>
    <w:p w14:paraId="20EADE7C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- pozytywna na lekcji – nagradzana plusami – pięć plusów = 5 ( </w:t>
      </w:r>
      <w:proofErr w:type="spellStart"/>
      <w:r w:rsidRPr="004F4A44">
        <w:t>bdb</w:t>
      </w:r>
      <w:proofErr w:type="spellEnd"/>
      <w:r w:rsidRPr="004F4A44">
        <w:t xml:space="preserve">) </w:t>
      </w:r>
    </w:p>
    <w:p w14:paraId="6D65F2F1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- negatywna na lekcji – np. nie udzielenie odp. na pytanie z omawianego materiału, za brak pracy na lekcji, nie udzielanie odpowiedzi na pytania - pięć minusów - 1 ( </w:t>
      </w:r>
      <w:proofErr w:type="spellStart"/>
      <w:r w:rsidRPr="004F4A44">
        <w:t>ndst</w:t>
      </w:r>
      <w:proofErr w:type="spellEnd"/>
      <w:r w:rsidRPr="004F4A44">
        <w:t>)</w:t>
      </w:r>
    </w:p>
    <w:p w14:paraId="7B25F4B8" w14:textId="77777777" w:rsidR="008A2873" w:rsidRPr="004F4A44" w:rsidRDefault="008A2873" w:rsidP="008A2873">
      <w:pPr>
        <w:spacing w:line="276" w:lineRule="auto"/>
        <w:jc w:val="both"/>
      </w:pPr>
      <w:r w:rsidRPr="004F4A44">
        <w:lastRenderedPageBreak/>
        <w:t>7. Praca z zeszytem ćwiczeń ( jeżeli takowy jest do danego przedmiotu)</w:t>
      </w:r>
    </w:p>
    <w:p w14:paraId="7A2A29B5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- z zeszytem ćwiczeń pracujemy podczas zajęć, ćwiczenia są sprawdzane w czasie zajęć i przy odpowiedzi, </w:t>
      </w:r>
    </w:p>
    <w:p w14:paraId="3E8EF020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- oceniane są pod koniec semestru, ocena ta jest ważną w hierarchii ocen, gdyż mówi nauczycielowi o tym jak uczeń pracuje </w:t>
      </w:r>
    </w:p>
    <w:p w14:paraId="0C9EE0B5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- najważniejsze podczas oceny ćwiczeń są poprawnie uzupełnione zadania, znaczenie również ma estetyka, staranność </w:t>
      </w:r>
    </w:p>
    <w:p w14:paraId="461F3481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8. Zadania dodatkowe – prezentacje, referaty i inne </w:t>
      </w:r>
    </w:p>
    <w:p w14:paraId="362E0DE8" w14:textId="77777777" w:rsidR="008A2873" w:rsidRPr="004F4A44" w:rsidRDefault="008A2873" w:rsidP="008A2873">
      <w:pPr>
        <w:spacing w:line="276" w:lineRule="auto"/>
        <w:jc w:val="both"/>
      </w:pPr>
      <w:r w:rsidRPr="004F4A44">
        <w:t>- zadania dodatkowe to formy umożliwiające uczniowi wykazać się, nie ma ocen z zadań domowych, dodatkowych prac domowych</w:t>
      </w:r>
    </w:p>
    <w:p w14:paraId="1FD85D57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- poinformowany przez nauczyciela uczeń może, ale nie musi wykonać dodatkowej w/w pracy </w:t>
      </w:r>
    </w:p>
    <w:p w14:paraId="4A81A733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9) Hierarchia ważności wykonywanych przez ucznia prac </w:t>
      </w:r>
    </w:p>
    <w:p w14:paraId="6AF82C23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1. sprawdzian pisemny, zeszyt ćwiczeń </w:t>
      </w:r>
    </w:p>
    <w:p w14:paraId="4DC22809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2. odpowiedź ustna, kartkówka, </w:t>
      </w:r>
    </w:p>
    <w:p w14:paraId="2C86BBB6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3. zeszyt przedmiotowy, prezentacje, referaty </w:t>
      </w:r>
    </w:p>
    <w:p w14:paraId="47DBF1CF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4. zaangażowanie i praca na lekcji, </w:t>
      </w:r>
    </w:p>
    <w:p w14:paraId="5BD870FB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10. Sposób wystawiania oceny semestralnej </w:t>
      </w:r>
    </w:p>
    <w:p w14:paraId="197344C6" w14:textId="77777777" w:rsidR="008A2873" w:rsidRPr="004F4A44" w:rsidRDefault="008A2873" w:rsidP="008A2873">
      <w:pPr>
        <w:spacing w:line="276" w:lineRule="auto"/>
        <w:jc w:val="both"/>
      </w:pPr>
      <w:r w:rsidRPr="004F4A44">
        <w:t xml:space="preserve">a) Uczeń powinien wykazać się wiedzą i umiejętnościami przewidzianymi w przedmiotowym systemie oceniania. </w:t>
      </w:r>
    </w:p>
    <w:p w14:paraId="0A5EA1CC" w14:textId="76220F82" w:rsidR="008A2873" w:rsidRDefault="008A2873" w:rsidP="008A2873">
      <w:pPr>
        <w:rPr>
          <w:b/>
          <w:sz w:val="28"/>
          <w:szCs w:val="28"/>
        </w:rPr>
      </w:pPr>
      <w:r w:rsidRPr="004F4A44">
        <w:t>b) Uczeń otrzymuje klasyfikację z przedmiotu, gdy ma co najmniej 50 % obecności</w:t>
      </w:r>
    </w:p>
    <w:p w14:paraId="0805E3A9" w14:textId="77777777" w:rsidR="008A2873" w:rsidRDefault="008A2873">
      <w:pPr>
        <w:rPr>
          <w:b/>
          <w:sz w:val="28"/>
          <w:szCs w:val="28"/>
        </w:rPr>
      </w:pPr>
    </w:p>
    <w:p w14:paraId="466627A1" w14:textId="23301E44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lastRenderedPageBreak/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lastRenderedPageBreak/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lastRenderedPageBreak/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</w:t>
            </w:r>
            <w:r w:rsidRPr="005F2F96">
              <w:rPr>
                <w:sz w:val="20"/>
                <w:szCs w:val="20"/>
              </w:rPr>
              <w:lastRenderedPageBreak/>
              <w:t>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lastRenderedPageBreak/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główne zagrożenia dla </w:t>
            </w:r>
            <w:r w:rsidRPr="00C475F5">
              <w:rPr>
                <w:sz w:val="20"/>
                <w:szCs w:val="20"/>
              </w:rPr>
              <w:lastRenderedPageBreak/>
              <w:t>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lastRenderedPageBreak/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doskonali się w wybranej dyscyplinie sportowej przydatnej w zakresie obronności kraju (sporty walki, strzelectwo, lekkoatletyka, biegi na orientację, jeździectwo, </w:t>
            </w:r>
            <w:r w:rsidRPr="00C475F5">
              <w:rPr>
                <w:sz w:val="20"/>
                <w:szCs w:val="20"/>
              </w:rPr>
              <w:lastRenderedPageBreak/>
              <w:t>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metody udzielania pierwszej </w:t>
            </w:r>
            <w:r w:rsidRPr="00E01E65">
              <w:rPr>
                <w:sz w:val="20"/>
                <w:szCs w:val="20"/>
              </w:rPr>
              <w:lastRenderedPageBreak/>
              <w:t>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wyjaśnia cel doraźnego unieruchomienia kończyny (zmniejszenie bólu, ograniczenie ryzyka </w:t>
            </w:r>
            <w:r w:rsidRPr="00E01E65">
              <w:rPr>
                <w:sz w:val="20"/>
                <w:szCs w:val="20"/>
              </w:rPr>
              <w:lastRenderedPageBreak/>
              <w:t>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</w:t>
            </w:r>
            <w:r w:rsidR="00B644CF" w:rsidRPr="00E01E65">
              <w:rPr>
                <w:sz w:val="20"/>
                <w:szCs w:val="20"/>
              </w:rPr>
              <w:lastRenderedPageBreak/>
              <w:t>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1"/>
      <w:footerReference w:type="default" r:id="rId12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972C" w14:textId="77777777" w:rsidR="007E19C8" w:rsidRDefault="007E19C8">
      <w:r>
        <w:separator/>
      </w:r>
    </w:p>
  </w:endnote>
  <w:endnote w:type="continuationSeparator" w:id="0">
    <w:p w14:paraId="7C46711C" w14:textId="77777777" w:rsidR="007E19C8" w:rsidRDefault="007E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1284" w14:textId="77777777" w:rsidR="007E19C8" w:rsidRDefault="007E19C8">
      <w:r>
        <w:separator/>
      </w:r>
    </w:p>
  </w:footnote>
  <w:footnote w:type="continuationSeparator" w:id="0">
    <w:p w14:paraId="6DB355A2" w14:textId="77777777" w:rsidR="007E19C8" w:rsidRDefault="007E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13AB0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4F4A44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3991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E19C8"/>
    <w:rsid w:val="007F342E"/>
    <w:rsid w:val="007F6254"/>
    <w:rsid w:val="008011B1"/>
    <w:rsid w:val="00810074"/>
    <w:rsid w:val="00863F9C"/>
    <w:rsid w:val="008654C3"/>
    <w:rsid w:val="00880EBF"/>
    <w:rsid w:val="008964DB"/>
    <w:rsid w:val="008A2873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07421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2873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8A28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Dorota Pelc</cp:lastModifiedBy>
  <cp:revision>4</cp:revision>
  <cp:lastPrinted>2009-08-05T10:01:00Z</cp:lastPrinted>
  <dcterms:created xsi:type="dcterms:W3CDTF">2024-09-25T10:00:00Z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